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241E6CE" w:rsidR="002F4CB7" w:rsidRPr="006B6663" w:rsidRDefault="00E12F67" w:rsidP="009552FC">
      <w:pPr>
        <w:pBdr>
          <w:top w:val="nil"/>
          <w:left w:val="nil"/>
          <w:bottom w:val="nil"/>
          <w:right w:val="nil"/>
          <w:between w:val="nil"/>
        </w:pBdr>
        <w:spacing w:before="240" w:line="240" w:lineRule="auto"/>
        <w:ind w:left="0" w:hanging="2"/>
        <w:jc w:val="center"/>
        <w:rPr>
          <w:rFonts w:ascii="Titillium Web" w:eastAsia="Calibri" w:hAnsi="Titillium Web"/>
          <w:b/>
          <w:color w:val="000000"/>
          <w:sz w:val="24"/>
          <w:szCs w:val="24"/>
        </w:rPr>
      </w:pPr>
      <w:r w:rsidRPr="006B6663">
        <w:rPr>
          <w:rFonts w:ascii="Titillium Web" w:eastAsia="Calibri" w:hAnsi="Titillium Web"/>
          <w:b/>
          <w:color w:val="000000"/>
          <w:sz w:val="24"/>
          <w:szCs w:val="24"/>
        </w:rPr>
        <w:t xml:space="preserve">DICHIARAZIONE PROTOCOLLO </w:t>
      </w:r>
      <w:r w:rsidR="00022AC9" w:rsidRPr="006B6663">
        <w:rPr>
          <w:rFonts w:ascii="Titillium Web" w:eastAsia="Calibri" w:hAnsi="Titillium Web"/>
          <w:b/>
          <w:color w:val="000000"/>
          <w:sz w:val="24"/>
          <w:szCs w:val="24"/>
        </w:rPr>
        <w:t>DI</w:t>
      </w:r>
      <w:r w:rsidRPr="006B6663">
        <w:rPr>
          <w:rFonts w:ascii="Titillium Web" w:eastAsia="Calibri" w:hAnsi="Titillium Web"/>
          <w:b/>
          <w:color w:val="000000"/>
          <w:sz w:val="24"/>
          <w:szCs w:val="24"/>
        </w:rPr>
        <w:t xml:space="preserve"> LEGALITA'</w:t>
      </w:r>
    </w:p>
    <w:p w14:paraId="00000002" w14:textId="77777777" w:rsidR="002F4CB7" w:rsidRPr="006B6663" w:rsidRDefault="00E12F67" w:rsidP="009552FC">
      <w:pPr>
        <w:pBdr>
          <w:top w:val="nil"/>
          <w:left w:val="nil"/>
          <w:bottom w:val="nil"/>
          <w:right w:val="nil"/>
          <w:between w:val="nil"/>
        </w:pBdr>
        <w:spacing w:line="240" w:lineRule="auto"/>
        <w:ind w:left="0" w:hanging="2"/>
        <w:jc w:val="center"/>
        <w:rPr>
          <w:rFonts w:ascii="Titillium Web" w:eastAsia="Calibri" w:hAnsi="Titillium Web"/>
          <w:b/>
          <w:color w:val="000000"/>
          <w:sz w:val="24"/>
          <w:szCs w:val="24"/>
        </w:rPr>
      </w:pPr>
      <w:r w:rsidRPr="006B6663">
        <w:rPr>
          <w:rFonts w:ascii="Titillium Web" w:eastAsia="Calibri" w:hAnsi="Titillium Web"/>
          <w:b/>
          <w:color w:val="000000"/>
          <w:sz w:val="24"/>
          <w:szCs w:val="24"/>
        </w:rPr>
        <w:t>CARLO ALBERTO DALLA CHIESA</w:t>
      </w:r>
    </w:p>
    <w:p w14:paraId="00000004" w14:textId="77777777" w:rsidR="002F4CB7" w:rsidRPr="006B6663" w:rsidRDefault="002F4CB7" w:rsidP="00A667BD">
      <w:pPr>
        <w:pBdr>
          <w:top w:val="nil"/>
          <w:left w:val="nil"/>
          <w:bottom w:val="nil"/>
          <w:right w:val="nil"/>
          <w:between w:val="nil"/>
        </w:pBdr>
        <w:spacing w:after="240" w:line="240" w:lineRule="auto"/>
        <w:ind w:leftChars="0" w:left="0" w:right="-82" w:firstLineChars="0" w:firstLine="0"/>
        <w:jc w:val="both"/>
        <w:rPr>
          <w:rFonts w:ascii="Titillium Web" w:eastAsia="Calibri" w:hAnsi="Titillium Web"/>
          <w:sz w:val="24"/>
          <w:szCs w:val="24"/>
        </w:rPr>
      </w:pPr>
    </w:p>
    <w:p w14:paraId="10318AFB" w14:textId="1F880845" w:rsidR="003660DA" w:rsidRPr="006B6663" w:rsidRDefault="00E12F67" w:rsidP="003660DA">
      <w:pPr>
        <w:pBdr>
          <w:top w:val="nil"/>
          <w:left w:val="nil"/>
          <w:bottom w:val="nil"/>
          <w:right w:val="nil"/>
          <w:between w:val="nil"/>
        </w:pBdr>
        <w:spacing w:after="240" w:line="240" w:lineRule="auto"/>
        <w:ind w:left="0" w:right="-82" w:hanging="2"/>
        <w:jc w:val="both"/>
        <w:rPr>
          <w:rFonts w:ascii="Titillium Web" w:eastAsia="Calibri" w:hAnsi="Titillium Web"/>
          <w:color w:val="000000"/>
          <w:sz w:val="24"/>
          <w:szCs w:val="24"/>
        </w:rPr>
      </w:pPr>
      <w:r w:rsidRPr="006B6663">
        <w:rPr>
          <w:rFonts w:ascii="Titillium Web" w:eastAsia="Calibri" w:hAnsi="Titillium Web"/>
          <w:b/>
          <w:color w:val="000000"/>
          <w:sz w:val="24"/>
          <w:szCs w:val="24"/>
        </w:rPr>
        <w:t>OGGETTO</w:t>
      </w:r>
      <w:r w:rsidRPr="006B6663">
        <w:rPr>
          <w:rFonts w:ascii="Titillium Web" w:eastAsia="Calibri" w:hAnsi="Titillium Web"/>
          <w:color w:val="000000"/>
          <w:sz w:val="24"/>
          <w:szCs w:val="24"/>
        </w:rPr>
        <w:t>:</w:t>
      </w:r>
      <w:r w:rsidRPr="006B6663">
        <w:rPr>
          <w:rFonts w:ascii="Titillium Web" w:eastAsia="Calibri" w:hAnsi="Titillium Web"/>
          <w:color w:val="000000"/>
          <w:sz w:val="24"/>
          <w:szCs w:val="24"/>
        </w:rPr>
        <w:tab/>
        <w:t xml:space="preserve">dichiarazione resa ai sensi del protocollo di legalità “Accordo quadro Carlo Alberto Dalla Chiesa” stipulato il 12 luglio 2005 fra la Regione siciliana, il Ministero dell’interno, le Prefetture dell’Isola, l’Autorità di vigilanza sui lavori pubblici, l’Inps e l’Inail </w:t>
      </w:r>
      <w:r w:rsidRPr="006B6663">
        <w:rPr>
          <w:rFonts w:ascii="Titillium Web" w:eastAsia="Calibri" w:hAnsi="Titillium Web"/>
          <w:i/>
          <w:color w:val="000000"/>
          <w:sz w:val="24"/>
          <w:szCs w:val="24"/>
        </w:rPr>
        <w:t xml:space="preserve">(circolare Assessore </w:t>
      </w:r>
      <w:r w:rsidR="00725324" w:rsidRPr="006B6663">
        <w:rPr>
          <w:rFonts w:ascii="Titillium Web" w:eastAsia="Calibri" w:hAnsi="Titillium Web"/>
          <w:i/>
          <w:color w:val="000000"/>
          <w:sz w:val="24"/>
          <w:szCs w:val="24"/>
        </w:rPr>
        <w:t>R</w:t>
      </w:r>
      <w:r w:rsidR="003660DA" w:rsidRPr="006B6663">
        <w:rPr>
          <w:rFonts w:ascii="Titillium Web" w:eastAsia="Calibri" w:hAnsi="Titillium Web"/>
          <w:i/>
          <w:color w:val="000000"/>
          <w:sz w:val="24"/>
          <w:szCs w:val="24"/>
        </w:rPr>
        <w:t>egionale LL.PP. n. 593 del 31 gennaio 2006</w:t>
      </w:r>
      <w:r w:rsidR="003660DA" w:rsidRPr="006B6663">
        <w:rPr>
          <w:rFonts w:ascii="Titillium Web" w:eastAsia="Calibri" w:hAnsi="Titillium Web"/>
          <w:color w:val="000000"/>
          <w:sz w:val="24"/>
          <w:szCs w:val="24"/>
        </w:rPr>
        <w:t xml:space="preserve">). </w:t>
      </w:r>
    </w:p>
    <w:p w14:paraId="442A2B37" w14:textId="4CCF3C5C" w:rsidR="00615D8F" w:rsidRPr="008E3EEE" w:rsidRDefault="003660DA" w:rsidP="00615D8F">
      <w:pPr>
        <w:spacing w:before="144" w:line="240" w:lineRule="auto"/>
        <w:ind w:left="0" w:right="74" w:hanging="2"/>
        <w:jc w:val="both"/>
        <w:rPr>
          <w:rFonts w:ascii="Titillium Web" w:hAnsi="Titillium Web" w:cs="Arial"/>
          <w:b/>
          <w:bCs/>
          <w:lang w:eastAsia="ar-SA" w:bidi="hi-IN"/>
        </w:rPr>
      </w:pPr>
      <w:r w:rsidRPr="006B6663">
        <w:rPr>
          <w:rFonts w:ascii="Titillium Web" w:hAnsi="Titillium Web" w:cs="Open Sans"/>
          <w:b/>
          <w:bCs/>
        </w:rPr>
        <w:t xml:space="preserve"> </w:t>
      </w:r>
      <w:r w:rsidR="00615D8F" w:rsidRPr="008E3EEE">
        <w:rPr>
          <w:rFonts w:ascii="Titillium Web" w:hAnsi="Titillium Web" w:cs="Arial"/>
          <w:b/>
          <w:bCs/>
          <w:lang w:eastAsia="ar-SA" w:bidi="hi-IN"/>
        </w:rPr>
        <w:t>R.D.O. MEPA PER L’INDIIDUAZIONE DEL FORNITORE DEL SERVIZIO DI IDEAZIONE GRAFICA E STAMPA DI MATERIALE PUBBLICITARIO E TARGHE INFORMATIVE PER LA REALIZZAZIONE DEL PROGETTO APPROVATO NELL’AMBITO DEL PIANO NAZIONALE RESILIENZA E RESILIENZA (PNRR), MISSIONE 1 - COMPONENTE 1 - ASSE 1, REALIZZAZIONE DELLA MISURA 1.7.2, “RETE DEI SERVIZI DI FACILITAZIONE DIGITALE” -</w:t>
      </w:r>
      <w:r w:rsidR="009519E8" w:rsidRPr="009519E8">
        <w:rPr>
          <w:rFonts w:ascii="Titillium Web" w:hAnsi="Titillium Web" w:cs="Arial"/>
          <w:b/>
          <w:bCs/>
          <w:lang w:eastAsia="ar-SA" w:bidi="hi-IN"/>
        </w:rPr>
        <w:t xml:space="preserve">  CUP: H29I23001130006</w:t>
      </w:r>
    </w:p>
    <w:p w14:paraId="4CE9DAB0" w14:textId="20C8A4D7" w:rsidR="00725324" w:rsidRPr="006B6663" w:rsidRDefault="00725324" w:rsidP="00615D8F">
      <w:pPr>
        <w:ind w:left="0" w:hanging="2"/>
        <w:jc w:val="both"/>
        <w:rPr>
          <w:rFonts w:ascii="Titillium Web" w:eastAsia="Calibri" w:hAnsi="Titillium Web"/>
          <w:color w:val="000000"/>
          <w:sz w:val="24"/>
          <w:szCs w:val="24"/>
        </w:rPr>
      </w:pPr>
    </w:p>
    <w:p w14:paraId="00000009" w14:textId="5B259C4B" w:rsidR="002F4CB7" w:rsidRPr="006B6663" w:rsidRDefault="00E12F67">
      <w:p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r w:rsidRPr="006B6663">
        <w:rPr>
          <w:rFonts w:ascii="Titillium Web" w:eastAsia="Calibri" w:hAnsi="Titillium Web"/>
          <w:color w:val="000000"/>
          <w:sz w:val="24"/>
          <w:szCs w:val="24"/>
        </w:rPr>
        <w:t xml:space="preserve">Con la presente dichiarazione, </w:t>
      </w:r>
      <w:r w:rsidR="000C6B5B" w:rsidRPr="006B6663">
        <w:rPr>
          <w:rFonts w:ascii="Titillium Web" w:eastAsia="Calibri" w:hAnsi="Titillium Web"/>
          <w:color w:val="000000"/>
          <w:sz w:val="24"/>
          <w:szCs w:val="24"/>
        </w:rPr>
        <w:t>il</w:t>
      </w:r>
      <w:r w:rsidRPr="006B6663">
        <w:rPr>
          <w:rFonts w:ascii="Titillium Web" w:eastAsia="Calibri" w:hAnsi="Titillium Web"/>
          <w:color w:val="000000"/>
          <w:sz w:val="24"/>
          <w:szCs w:val="24"/>
        </w:rPr>
        <w:t xml:space="preserve"> sottoscritt</w:t>
      </w:r>
      <w:r w:rsidR="000C6B5B" w:rsidRPr="006B6663">
        <w:rPr>
          <w:rFonts w:ascii="Titillium Web" w:eastAsia="Calibri" w:hAnsi="Titillium Web"/>
          <w:color w:val="000000"/>
          <w:sz w:val="24"/>
          <w:szCs w:val="24"/>
        </w:rPr>
        <w:t xml:space="preserve">o Sig. </w:t>
      </w:r>
      <w:r w:rsidR="00D71F9A" w:rsidRPr="006B6663">
        <w:rPr>
          <w:rFonts w:ascii="Titillium Web" w:eastAsia="Calibri" w:hAnsi="Titillium Web"/>
          <w:color w:val="000000"/>
          <w:sz w:val="24"/>
          <w:szCs w:val="24"/>
        </w:rPr>
        <w:t>…………</w:t>
      </w:r>
      <w:r w:rsidRPr="006B6663">
        <w:rPr>
          <w:rFonts w:ascii="Titillium Web" w:eastAsia="Calibri" w:hAnsi="Titillium Web"/>
          <w:color w:val="000000"/>
          <w:sz w:val="24"/>
          <w:szCs w:val="24"/>
        </w:rPr>
        <w:t xml:space="preserve">Codice Fiscale </w:t>
      </w:r>
      <w:r w:rsidR="00D71F9A" w:rsidRPr="006B6663">
        <w:rPr>
          <w:rFonts w:ascii="Titillium Web" w:eastAsia="Calibri" w:hAnsi="Titillium Web"/>
          <w:color w:val="000000"/>
          <w:sz w:val="24"/>
          <w:szCs w:val="24"/>
        </w:rPr>
        <w:t>…………….</w:t>
      </w:r>
      <w:r w:rsidRPr="006B6663">
        <w:rPr>
          <w:rFonts w:ascii="Titillium Web" w:eastAsia="Calibri" w:hAnsi="Titillium Web"/>
          <w:color w:val="000000"/>
          <w:sz w:val="24"/>
          <w:szCs w:val="24"/>
        </w:rPr>
        <w:t xml:space="preserve"> nato a</w:t>
      </w:r>
      <w:r w:rsidR="002467DB" w:rsidRPr="006B6663">
        <w:rPr>
          <w:rFonts w:ascii="Titillium Web" w:eastAsia="Calibri" w:hAnsi="Titillium Web"/>
          <w:color w:val="000000"/>
          <w:sz w:val="24"/>
          <w:szCs w:val="24"/>
        </w:rPr>
        <w:t xml:space="preserve"> </w:t>
      </w:r>
      <w:r w:rsidR="00D71F9A" w:rsidRPr="006B6663">
        <w:rPr>
          <w:rFonts w:ascii="Titillium Web" w:eastAsia="Calibri" w:hAnsi="Titillium Web"/>
          <w:color w:val="000000"/>
          <w:sz w:val="24"/>
          <w:szCs w:val="24"/>
        </w:rPr>
        <w:t>…………..</w:t>
      </w:r>
      <w:r w:rsidR="002467DB" w:rsidRPr="006B6663">
        <w:rPr>
          <w:rFonts w:ascii="Titillium Web" w:eastAsia="Calibri" w:hAnsi="Titillium Web"/>
          <w:color w:val="000000"/>
          <w:sz w:val="24"/>
          <w:szCs w:val="24"/>
        </w:rPr>
        <w:t>(</w:t>
      </w:r>
      <w:r w:rsidR="00D71F9A" w:rsidRPr="006B6663">
        <w:rPr>
          <w:rFonts w:ascii="Titillium Web" w:eastAsia="Calibri" w:hAnsi="Titillium Web"/>
          <w:color w:val="000000"/>
          <w:sz w:val="24"/>
          <w:szCs w:val="24"/>
        </w:rPr>
        <w:t>………</w:t>
      </w:r>
      <w:r w:rsidR="002467DB" w:rsidRPr="006B6663">
        <w:rPr>
          <w:rFonts w:ascii="Titillium Web" w:eastAsia="Calibri" w:hAnsi="Titillium Web"/>
          <w:color w:val="000000"/>
          <w:sz w:val="24"/>
          <w:szCs w:val="24"/>
        </w:rPr>
        <w:t xml:space="preserve">) </w:t>
      </w:r>
      <w:r w:rsidRPr="006B6663">
        <w:rPr>
          <w:rFonts w:ascii="Titillium Web" w:eastAsia="Calibri" w:hAnsi="Titillium Web"/>
          <w:color w:val="000000"/>
          <w:sz w:val="24"/>
          <w:szCs w:val="24"/>
        </w:rPr>
        <w:t xml:space="preserve">il </w:t>
      </w:r>
      <w:r w:rsidR="00D71F9A" w:rsidRPr="006B6663">
        <w:rPr>
          <w:rFonts w:ascii="Titillium Web" w:eastAsia="Calibri" w:hAnsi="Titillium Web"/>
          <w:color w:val="000000"/>
          <w:sz w:val="24"/>
          <w:szCs w:val="24"/>
        </w:rPr>
        <w:t>……………</w:t>
      </w:r>
      <w:r w:rsidRPr="006B6663">
        <w:rPr>
          <w:rFonts w:ascii="Titillium Web" w:eastAsia="Calibri" w:hAnsi="Titillium Web"/>
          <w:color w:val="000000"/>
          <w:sz w:val="24"/>
          <w:szCs w:val="24"/>
        </w:rPr>
        <w:t xml:space="preserve"> e residente a </w:t>
      </w:r>
      <w:r w:rsidR="00D71F9A" w:rsidRPr="006B6663">
        <w:rPr>
          <w:rFonts w:ascii="Titillium Web" w:eastAsia="Calibri" w:hAnsi="Titillium Web"/>
          <w:color w:val="000000"/>
          <w:sz w:val="24"/>
          <w:szCs w:val="24"/>
        </w:rPr>
        <w:t>…………</w:t>
      </w:r>
      <w:r w:rsidR="002467DB" w:rsidRPr="006B6663">
        <w:rPr>
          <w:rFonts w:ascii="Titillium Web" w:eastAsia="Calibri" w:hAnsi="Titillium Web"/>
          <w:color w:val="000000"/>
          <w:sz w:val="24"/>
          <w:szCs w:val="24"/>
        </w:rPr>
        <w:t xml:space="preserve"> (</w:t>
      </w:r>
      <w:r w:rsidR="00D71F9A" w:rsidRPr="006B6663">
        <w:rPr>
          <w:rFonts w:ascii="Titillium Web" w:eastAsia="Calibri" w:hAnsi="Titillium Web"/>
          <w:color w:val="000000"/>
          <w:sz w:val="24"/>
          <w:szCs w:val="24"/>
        </w:rPr>
        <w:t>………</w:t>
      </w:r>
      <w:r w:rsidR="002467DB" w:rsidRPr="006B6663">
        <w:rPr>
          <w:rFonts w:ascii="Titillium Web" w:eastAsia="Calibri" w:hAnsi="Titillium Web"/>
          <w:color w:val="000000"/>
          <w:sz w:val="24"/>
          <w:szCs w:val="24"/>
        </w:rPr>
        <w:t>)</w:t>
      </w:r>
      <w:r w:rsidRPr="006B6663">
        <w:rPr>
          <w:rFonts w:ascii="Titillium Web" w:eastAsia="Calibri" w:hAnsi="Titillium Web"/>
          <w:color w:val="000000"/>
          <w:sz w:val="24"/>
          <w:szCs w:val="24"/>
        </w:rPr>
        <w:t xml:space="preserve"> via </w:t>
      </w:r>
      <w:r w:rsidR="00D71F9A" w:rsidRPr="006B6663">
        <w:rPr>
          <w:rFonts w:ascii="Titillium Web" w:eastAsia="Calibri" w:hAnsi="Titillium Web"/>
          <w:color w:val="000000"/>
          <w:sz w:val="24"/>
          <w:szCs w:val="24"/>
        </w:rPr>
        <w:t>…………..</w:t>
      </w:r>
      <w:r w:rsidR="002467DB" w:rsidRPr="006B6663">
        <w:rPr>
          <w:rFonts w:ascii="Titillium Web" w:eastAsia="Calibri" w:hAnsi="Titillium Web"/>
          <w:color w:val="000000"/>
          <w:sz w:val="24"/>
          <w:szCs w:val="24"/>
        </w:rPr>
        <w:t xml:space="preserve"> n. </w:t>
      </w:r>
      <w:r w:rsidR="00D71F9A" w:rsidRPr="006B6663">
        <w:rPr>
          <w:rFonts w:ascii="Titillium Web" w:eastAsia="Calibri" w:hAnsi="Titillium Web"/>
          <w:color w:val="000000"/>
          <w:sz w:val="24"/>
          <w:szCs w:val="24"/>
        </w:rPr>
        <w:t>………..</w:t>
      </w:r>
      <w:r w:rsidR="002467DB" w:rsidRPr="006B6663">
        <w:rPr>
          <w:rFonts w:ascii="Titillium Web" w:eastAsia="Calibri" w:hAnsi="Titillium Web"/>
          <w:color w:val="000000"/>
          <w:sz w:val="24"/>
          <w:szCs w:val="24"/>
        </w:rPr>
        <w:t xml:space="preserve"> </w:t>
      </w:r>
      <w:r w:rsidRPr="006B6663">
        <w:rPr>
          <w:rFonts w:ascii="Titillium Web" w:eastAsia="Calibri" w:hAnsi="Titillium Web"/>
          <w:color w:val="000000"/>
          <w:sz w:val="24"/>
          <w:szCs w:val="24"/>
        </w:rPr>
        <w:t xml:space="preserve">nella qualità di </w:t>
      </w:r>
      <w:r w:rsidR="002467DB" w:rsidRPr="006B6663">
        <w:rPr>
          <w:rFonts w:ascii="Titillium Web" w:eastAsia="Calibri" w:hAnsi="Titillium Web"/>
          <w:color w:val="000000"/>
          <w:sz w:val="24"/>
          <w:szCs w:val="24"/>
        </w:rPr>
        <w:t xml:space="preserve">Presidente e Legale Rappresentante </w:t>
      </w:r>
      <w:r w:rsidRPr="006B6663">
        <w:rPr>
          <w:rFonts w:ascii="Titillium Web" w:eastAsia="Calibri" w:hAnsi="Titillium Web"/>
          <w:color w:val="000000"/>
          <w:sz w:val="24"/>
          <w:szCs w:val="24"/>
        </w:rPr>
        <w:t>del</w:t>
      </w:r>
      <w:r w:rsidR="00D71F9A" w:rsidRPr="006B6663">
        <w:rPr>
          <w:rFonts w:ascii="Titillium Web" w:eastAsia="Calibri" w:hAnsi="Titillium Web"/>
          <w:color w:val="000000"/>
          <w:sz w:val="24"/>
          <w:szCs w:val="24"/>
        </w:rPr>
        <w:t>l’Ente</w:t>
      </w:r>
      <w:r w:rsidRPr="006B6663">
        <w:rPr>
          <w:rFonts w:ascii="Titillium Web" w:eastAsia="Calibri" w:hAnsi="Titillium Web"/>
          <w:color w:val="000000"/>
          <w:sz w:val="24"/>
          <w:szCs w:val="24"/>
        </w:rPr>
        <w:t xml:space="preserve"> </w:t>
      </w:r>
      <w:r w:rsidR="00D71F9A" w:rsidRPr="006B6663">
        <w:rPr>
          <w:rFonts w:ascii="Titillium Web" w:eastAsia="Calibri" w:hAnsi="Titillium Web"/>
          <w:color w:val="000000"/>
          <w:sz w:val="24"/>
          <w:szCs w:val="24"/>
        </w:rPr>
        <w:t>………………</w:t>
      </w:r>
      <w:r w:rsidRPr="006B6663">
        <w:rPr>
          <w:rFonts w:ascii="Titillium Web" w:eastAsia="Calibri" w:hAnsi="Titillium Web"/>
          <w:color w:val="000000"/>
          <w:sz w:val="24"/>
          <w:szCs w:val="24"/>
        </w:rPr>
        <w:t xml:space="preserve">iscritta nel registro </w:t>
      </w:r>
      <w:r w:rsidR="00D71F9A" w:rsidRPr="006B6663">
        <w:rPr>
          <w:rFonts w:ascii="Titillium Web" w:eastAsia="Calibri" w:hAnsi="Titillium Web"/>
          <w:color w:val="000000"/>
          <w:sz w:val="24"/>
          <w:szCs w:val="24"/>
        </w:rPr>
        <w:t>…………………</w:t>
      </w:r>
      <w:r w:rsidRPr="006B6663">
        <w:rPr>
          <w:rFonts w:ascii="Titillium Web" w:eastAsia="Calibri" w:hAnsi="Titillium Web"/>
          <w:color w:val="000000"/>
          <w:sz w:val="24"/>
          <w:szCs w:val="24"/>
        </w:rPr>
        <w:t xml:space="preserve"> tenuto presso la </w:t>
      </w:r>
      <w:r w:rsidR="00D71F9A" w:rsidRPr="006B6663">
        <w:rPr>
          <w:rFonts w:ascii="Titillium Web" w:eastAsia="Calibri" w:hAnsi="Titillium Web"/>
          <w:color w:val="000000"/>
          <w:sz w:val="24"/>
          <w:szCs w:val="24"/>
        </w:rPr>
        <w:t>…………………………..</w:t>
      </w:r>
      <w:r w:rsidRPr="006B6663">
        <w:rPr>
          <w:rFonts w:ascii="Titillium Web" w:eastAsia="Calibri" w:hAnsi="Titillium Web"/>
          <w:color w:val="000000"/>
          <w:sz w:val="24"/>
          <w:szCs w:val="24"/>
        </w:rPr>
        <w:t xml:space="preserve"> partecipante alla procedura negoziata sopra indicata,</w:t>
      </w:r>
    </w:p>
    <w:p w14:paraId="0000000B" w14:textId="77777777" w:rsidR="002F4CB7" w:rsidRPr="006B6663" w:rsidRDefault="00E12F67">
      <w:pPr>
        <w:pBdr>
          <w:top w:val="nil"/>
          <w:left w:val="nil"/>
          <w:bottom w:val="nil"/>
          <w:right w:val="nil"/>
          <w:between w:val="nil"/>
        </w:pBdr>
        <w:spacing w:after="120" w:line="240" w:lineRule="auto"/>
        <w:ind w:left="0" w:hanging="2"/>
        <w:jc w:val="center"/>
        <w:rPr>
          <w:rFonts w:ascii="Titillium Web" w:eastAsia="Calibri" w:hAnsi="Titillium Web"/>
          <w:color w:val="000000"/>
          <w:sz w:val="24"/>
          <w:szCs w:val="24"/>
        </w:rPr>
      </w:pPr>
      <w:r w:rsidRPr="006B6663">
        <w:rPr>
          <w:rFonts w:ascii="Titillium Web" w:eastAsia="Calibri" w:hAnsi="Titillium Web"/>
          <w:b/>
          <w:i/>
          <w:color w:val="000000"/>
          <w:sz w:val="24"/>
          <w:szCs w:val="24"/>
        </w:rPr>
        <w:t>D i c h i a r a</w:t>
      </w:r>
    </w:p>
    <w:p w14:paraId="0000000D" w14:textId="77777777" w:rsidR="002F4CB7" w:rsidRPr="006B6663" w:rsidRDefault="00E12F67">
      <w:p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r w:rsidRPr="006B6663">
        <w:rPr>
          <w:rFonts w:ascii="Titillium Web" w:eastAsia="Calibri" w:hAnsi="Titillium Web"/>
          <w:color w:val="000000"/>
          <w:sz w:val="24"/>
          <w:szCs w:val="24"/>
        </w:rPr>
        <w:t xml:space="preserve">di essere a conoscenza e di avere piena cognizione del contenuto del </w:t>
      </w:r>
      <w:r w:rsidRPr="006B6663">
        <w:rPr>
          <w:rFonts w:ascii="Titillium Web" w:eastAsia="Calibri" w:hAnsi="Titillium Web"/>
          <w:i/>
          <w:color w:val="000000"/>
          <w:sz w:val="24"/>
          <w:szCs w:val="24"/>
        </w:rPr>
        <w:t>"protocollo di legalità"</w:t>
      </w:r>
      <w:r w:rsidRPr="006B6663">
        <w:rPr>
          <w:rFonts w:ascii="Titillium Web" w:eastAsia="Calibri" w:hAnsi="Titillium Web"/>
          <w:color w:val="000000"/>
          <w:sz w:val="24"/>
          <w:szCs w:val="24"/>
        </w:rPr>
        <w:t xml:space="preserve"> specificato in oggetto.</w:t>
      </w:r>
    </w:p>
    <w:p w14:paraId="0000000E" w14:textId="77777777" w:rsidR="002F4CB7" w:rsidRPr="006B6663" w:rsidRDefault="00E12F67">
      <w:pPr>
        <w:pBdr>
          <w:top w:val="nil"/>
          <w:left w:val="nil"/>
          <w:bottom w:val="nil"/>
          <w:right w:val="nil"/>
          <w:between w:val="nil"/>
        </w:pBdr>
        <w:spacing w:after="120" w:line="240" w:lineRule="auto"/>
        <w:ind w:left="0" w:hanging="2"/>
        <w:jc w:val="center"/>
        <w:rPr>
          <w:rFonts w:ascii="Titillium Web" w:eastAsia="Calibri" w:hAnsi="Titillium Web"/>
          <w:color w:val="000000"/>
          <w:sz w:val="24"/>
          <w:szCs w:val="24"/>
        </w:rPr>
      </w:pPr>
      <w:r w:rsidRPr="006B6663">
        <w:rPr>
          <w:rFonts w:ascii="Titillium Web" w:eastAsia="Calibri" w:hAnsi="Titillium Web"/>
          <w:b/>
          <w:i/>
          <w:color w:val="000000"/>
          <w:sz w:val="24"/>
          <w:szCs w:val="24"/>
        </w:rPr>
        <w:t>Si obbliga espressamente nel caso di aggiudicazione:</w:t>
      </w:r>
    </w:p>
    <w:p w14:paraId="00000010" w14:textId="77777777" w:rsidR="002F4CB7" w:rsidRPr="006B6663" w:rsidRDefault="00E12F67">
      <w:pPr>
        <w:widowControl/>
        <w:numPr>
          <w:ilvl w:val="0"/>
          <w:numId w:val="1"/>
        </w:num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r w:rsidRPr="006B6663">
        <w:rPr>
          <w:rFonts w:ascii="Titillium Web" w:eastAsia="Calibri" w:hAnsi="Titillium Web"/>
          <w:color w:val="000000"/>
          <w:sz w:val="24"/>
          <w:szCs w:val="24"/>
        </w:rPr>
        <w:t>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w:t>
      </w:r>
    </w:p>
    <w:p w14:paraId="00000011" w14:textId="77777777" w:rsidR="002F4CB7" w:rsidRPr="006B6663" w:rsidRDefault="00E12F67">
      <w:pPr>
        <w:widowControl/>
        <w:numPr>
          <w:ilvl w:val="0"/>
          <w:numId w:val="1"/>
        </w:num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r w:rsidRPr="006B6663">
        <w:rPr>
          <w:rFonts w:ascii="Titillium Web" w:eastAsia="Calibri" w:hAnsi="Titillium Web"/>
          <w:color w:val="000000"/>
          <w:sz w:val="24"/>
          <w:szCs w:val="24"/>
        </w:rPr>
        <w:t>a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cantiere etc.);</w:t>
      </w:r>
    </w:p>
    <w:p w14:paraId="00000012" w14:textId="77777777" w:rsidR="002F4CB7" w:rsidRPr="006B6663" w:rsidRDefault="00E12F67">
      <w:pPr>
        <w:widowControl/>
        <w:numPr>
          <w:ilvl w:val="0"/>
          <w:numId w:val="1"/>
        </w:num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r w:rsidRPr="006B6663">
        <w:rPr>
          <w:rFonts w:ascii="Titillium Web" w:eastAsia="Calibri" w:hAnsi="Titillium Web"/>
          <w:color w:val="000000"/>
          <w:sz w:val="24"/>
          <w:szCs w:val="24"/>
        </w:rPr>
        <w:t xml:space="preserve">ad inserire identiche clausole nei contratti di subappalto, nolo, cottimo etc., consapevole che, in caso contrario, le eventuali autorizzazioni non saranno concesse. </w:t>
      </w:r>
    </w:p>
    <w:p w14:paraId="00000013" w14:textId="77777777" w:rsidR="002F4CB7" w:rsidRPr="006B6663" w:rsidRDefault="00E12F67">
      <w:pPr>
        <w:pBdr>
          <w:top w:val="nil"/>
          <w:left w:val="nil"/>
          <w:bottom w:val="nil"/>
          <w:right w:val="nil"/>
          <w:between w:val="nil"/>
        </w:pBdr>
        <w:spacing w:before="240" w:after="120" w:line="240" w:lineRule="auto"/>
        <w:ind w:left="0" w:hanging="2"/>
        <w:jc w:val="center"/>
        <w:rPr>
          <w:rFonts w:ascii="Titillium Web" w:eastAsia="Calibri" w:hAnsi="Titillium Web"/>
          <w:color w:val="000000"/>
          <w:sz w:val="24"/>
          <w:szCs w:val="24"/>
        </w:rPr>
      </w:pPr>
      <w:r w:rsidRPr="006B6663">
        <w:rPr>
          <w:rFonts w:ascii="Titillium Web" w:eastAsia="Calibri" w:hAnsi="Titillium Web"/>
          <w:b/>
          <w:color w:val="000000"/>
          <w:sz w:val="24"/>
          <w:szCs w:val="24"/>
        </w:rPr>
        <w:t>Dichiara espressamente ed in modo solenne</w:t>
      </w:r>
    </w:p>
    <w:p w14:paraId="00000014" w14:textId="77777777" w:rsidR="002F4CB7" w:rsidRPr="006B6663" w:rsidRDefault="00E12F67">
      <w:pPr>
        <w:widowControl/>
        <w:numPr>
          <w:ilvl w:val="0"/>
          <w:numId w:val="1"/>
        </w:num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r w:rsidRPr="006B6663">
        <w:rPr>
          <w:rFonts w:ascii="Titillium Web" w:eastAsia="Calibri" w:hAnsi="Titillium Web"/>
          <w:color w:val="000000"/>
          <w:sz w:val="24"/>
          <w:szCs w:val="24"/>
        </w:rPr>
        <w:t xml:space="preserve">di non trovarsi in situazioni di controllo o di collegamento </w:t>
      </w:r>
      <w:r w:rsidRPr="006B6663">
        <w:rPr>
          <w:rFonts w:ascii="Titillium Web" w:eastAsia="Calibri" w:hAnsi="Titillium Web"/>
          <w:i/>
          <w:color w:val="000000"/>
          <w:sz w:val="24"/>
          <w:szCs w:val="24"/>
        </w:rPr>
        <w:t>(formale e/o sostanziale)</w:t>
      </w:r>
      <w:r w:rsidRPr="006B6663">
        <w:rPr>
          <w:rFonts w:ascii="Titillium Web" w:eastAsia="Calibri" w:hAnsi="Titillium Web"/>
          <w:color w:val="000000"/>
          <w:sz w:val="24"/>
          <w:szCs w:val="24"/>
        </w:rPr>
        <w:t xml:space="preserve"> con altri concorrenti ovvero di trovarsi in situazioni di controllo o di collegamento </w:t>
      </w:r>
      <w:r w:rsidRPr="006B6663">
        <w:rPr>
          <w:rFonts w:ascii="Titillium Web" w:eastAsia="Calibri" w:hAnsi="Titillium Web"/>
          <w:i/>
          <w:color w:val="000000"/>
          <w:sz w:val="24"/>
          <w:szCs w:val="24"/>
        </w:rPr>
        <w:t xml:space="preserve">(formale e/o </w:t>
      </w:r>
      <w:r w:rsidRPr="006B6663">
        <w:rPr>
          <w:rFonts w:ascii="Titillium Web" w:eastAsia="Calibri" w:hAnsi="Titillium Web"/>
          <w:i/>
          <w:color w:val="000000"/>
          <w:sz w:val="24"/>
          <w:szCs w:val="24"/>
        </w:rPr>
        <w:lastRenderedPageBreak/>
        <w:t>sostanziale)</w:t>
      </w:r>
      <w:r w:rsidRPr="006B6663">
        <w:rPr>
          <w:rFonts w:ascii="Titillium Web" w:eastAsia="Calibri" w:hAnsi="Titillium Web"/>
          <w:color w:val="000000"/>
          <w:sz w:val="24"/>
          <w:szCs w:val="24"/>
        </w:rPr>
        <w:t xml:space="preserve"> con altri concorrenti, ma che tale situazione non comporta che l’offerta sia imputabile ad un unico centro decisionale (art. 3 della Legge n. 166 del 20 novembre 2009) e che non si è accordato e non si accorderà con altri partecipanti alla gara;</w:t>
      </w:r>
    </w:p>
    <w:p w14:paraId="00000015" w14:textId="77777777" w:rsidR="002F4CB7" w:rsidRPr="006B6663" w:rsidRDefault="00E12F67">
      <w:pPr>
        <w:widowControl/>
        <w:numPr>
          <w:ilvl w:val="0"/>
          <w:numId w:val="1"/>
        </w:num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r w:rsidRPr="006B6663">
        <w:rPr>
          <w:rFonts w:ascii="Titillium Web" w:eastAsia="Calibri" w:hAnsi="Titillium Web"/>
          <w:color w:val="000000"/>
          <w:sz w:val="24"/>
          <w:szCs w:val="24"/>
        </w:rPr>
        <w:t>che non subappalterà lavorazioni di alcun tipo ad altre imprese partecipanti alla gara —in forma singola od associata— e che è consapevole che, in caso contrario, tali subappalti non saranno autorizzati;</w:t>
      </w:r>
    </w:p>
    <w:p w14:paraId="00000016" w14:textId="77777777" w:rsidR="002F4CB7" w:rsidRPr="006B6663" w:rsidRDefault="00E12F67">
      <w:pPr>
        <w:widowControl/>
        <w:numPr>
          <w:ilvl w:val="0"/>
          <w:numId w:val="1"/>
        </w:num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r w:rsidRPr="006B6663">
        <w:rPr>
          <w:rFonts w:ascii="Titillium Web" w:eastAsia="Calibri" w:hAnsi="Titillium Web"/>
          <w:color w:val="000000"/>
          <w:sz w:val="24"/>
          <w:szCs w:val="24"/>
        </w:rPr>
        <w:t>che l’offerta è improntata a serietà, integrità, indipendenza e segretezza e si impegna a conformare il proprio comportamento ai principi di lealtà, trasparenza e correttezza; e che non si è accordato e non si accorderà con altri partecipanti alla gara per limitare od eludere in alcun modo la concorrenza;</w:t>
      </w:r>
    </w:p>
    <w:p w14:paraId="00000017" w14:textId="77777777" w:rsidR="002F4CB7" w:rsidRPr="006B6663" w:rsidRDefault="00E12F67">
      <w:pPr>
        <w:widowControl/>
        <w:numPr>
          <w:ilvl w:val="0"/>
          <w:numId w:val="1"/>
        </w:num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r w:rsidRPr="006B6663">
        <w:rPr>
          <w:rFonts w:ascii="Titillium Web" w:eastAsia="Calibri" w:hAnsi="Titillium Web"/>
          <w:color w:val="000000"/>
          <w:sz w:val="24"/>
          <w:szCs w:val="24"/>
        </w:rPr>
        <w:t>che non si è accordato e non si accorderà con altri partecipanti alla gara per limitare o eludere in alcun modo la concorrenza.</w:t>
      </w:r>
    </w:p>
    <w:p w14:paraId="00000018" w14:textId="77777777" w:rsidR="002F4CB7" w:rsidRPr="006B6663" w:rsidRDefault="00E12F67">
      <w:p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r w:rsidRPr="006B6663">
        <w:rPr>
          <w:rFonts w:ascii="Titillium Web" w:eastAsia="Calibri" w:hAnsi="Titillium Web"/>
          <w:b/>
          <w:color w:val="000000"/>
          <w:sz w:val="24"/>
          <w:szCs w:val="24"/>
        </w:rPr>
        <w:tab/>
        <w:t>Dichiara,</w:t>
      </w:r>
      <w:r w:rsidRPr="006B6663">
        <w:rPr>
          <w:rFonts w:ascii="Titillium Web" w:eastAsia="Calibri" w:hAnsi="Titillium Web"/>
          <w:color w:val="000000"/>
          <w:sz w:val="24"/>
          <w:szCs w:val="24"/>
        </w:rPr>
        <w:t xml:space="preserve"> altresì, espressamente di essere consapevole che le superiori obbligazioni e dichiarazioni sono condizioni rilevanti per la partecipazione alla gara sicché, qualora la stazione appaltante accerti, nel corso del procedimento di gara, una situazione di col legamento sostanziale, attraverso indizi gravi, precisi e concordanti, l’impresa verrà esclusa. </w:t>
      </w:r>
    </w:p>
    <w:p w14:paraId="007B4D6B" w14:textId="77777777" w:rsidR="00566B70" w:rsidRPr="006B6663" w:rsidRDefault="00566B70">
      <w:pPr>
        <w:pBdr>
          <w:top w:val="nil"/>
          <w:left w:val="nil"/>
          <w:bottom w:val="nil"/>
          <w:right w:val="nil"/>
          <w:between w:val="nil"/>
        </w:pBdr>
        <w:spacing w:after="120" w:line="240" w:lineRule="auto"/>
        <w:ind w:left="0" w:hanging="2"/>
        <w:jc w:val="both"/>
        <w:rPr>
          <w:rFonts w:ascii="Titillium Web" w:eastAsia="Calibri" w:hAnsi="Titillium Web"/>
          <w:i/>
          <w:iCs/>
          <w:color w:val="000000"/>
          <w:sz w:val="24"/>
          <w:szCs w:val="24"/>
        </w:rPr>
      </w:pPr>
    </w:p>
    <w:p w14:paraId="00000019" w14:textId="7DECCCD7" w:rsidR="002F4CB7" w:rsidRPr="006B6663" w:rsidRDefault="009552FC">
      <w:pPr>
        <w:pBdr>
          <w:top w:val="nil"/>
          <w:left w:val="nil"/>
          <w:bottom w:val="nil"/>
          <w:right w:val="nil"/>
          <w:between w:val="nil"/>
        </w:pBdr>
        <w:spacing w:after="120" w:line="240" w:lineRule="auto"/>
        <w:ind w:left="0" w:hanging="2"/>
        <w:jc w:val="both"/>
        <w:rPr>
          <w:rFonts w:ascii="Titillium Web" w:eastAsia="Calibri" w:hAnsi="Titillium Web"/>
          <w:i/>
          <w:iCs/>
          <w:color w:val="000000"/>
          <w:sz w:val="24"/>
          <w:szCs w:val="24"/>
        </w:rPr>
      </w:pPr>
      <w:r w:rsidRPr="006B6663">
        <w:rPr>
          <w:rFonts w:ascii="Titillium Web" w:eastAsia="Calibri" w:hAnsi="Titillium Web"/>
          <w:i/>
          <w:iCs/>
          <w:color w:val="000000"/>
          <w:sz w:val="24"/>
          <w:szCs w:val="24"/>
        </w:rPr>
        <w:t>Luogo e data</w:t>
      </w:r>
    </w:p>
    <w:p w14:paraId="0000001A" w14:textId="77777777" w:rsidR="002F4CB7" w:rsidRPr="006B6663" w:rsidRDefault="002F4CB7">
      <w:p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p>
    <w:p w14:paraId="0000001B" w14:textId="77777777" w:rsidR="002F4CB7" w:rsidRPr="006B6663" w:rsidRDefault="002F4CB7">
      <w:p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p>
    <w:p w14:paraId="0000001C" w14:textId="77777777" w:rsidR="002F4CB7" w:rsidRPr="006B6663" w:rsidRDefault="00E12F67">
      <w:pPr>
        <w:pBdr>
          <w:top w:val="nil"/>
          <w:left w:val="nil"/>
          <w:bottom w:val="nil"/>
          <w:right w:val="nil"/>
          <w:between w:val="nil"/>
        </w:pBdr>
        <w:spacing w:after="120" w:line="240" w:lineRule="auto"/>
        <w:ind w:left="0" w:hanging="2"/>
        <w:jc w:val="center"/>
        <w:rPr>
          <w:rFonts w:ascii="Titillium Web" w:eastAsia="Calibri" w:hAnsi="Titillium Web"/>
          <w:color w:val="000000"/>
          <w:sz w:val="24"/>
          <w:szCs w:val="24"/>
        </w:rPr>
      </w:pPr>
      <w:r w:rsidRPr="006B6663">
        <w:rPr>
          <w:rFonts w:ascii="Titillium Web" w:eastAsia="Calibri" w:hAnsi="Titillium Web"/>
          <w:color w:val="000000"/>
          <w:sz w:val="24"/>
          <w:szCs w:val="24"/>
        </w:rPr>
        <w:t>……....……………………………………………</w:t>
      </w:r>
    </w:p>
    <w:p w14:paraId="0000001D" w14:textId="6B2FA19E" w:rsidR="002F4CB7" w:rsidRPr="006B6663" w:rsidRDefault="004C576A">
      <w:pPr>
        <w:pBdr>
          <w:top w:val="nil"/>
          <w:left w:val="nil"/>
          <w:bottom w:val="nil"/>
          <w:right w:val="nil"/>
          <w:between w:val="nil"/>
        </w:pBdr>
        <w:spacing w:after="120" w:line="240" w:lineRule="auto"/>
        <w:ind w:left="0" w:hanging="2"/>
        <w:jc w:val="center"/>
        <w:rPr>
          <w:rFonts w:ascii="Titillium Web" w:eastAsia="Calibri" w:hAnsi="Titillium Web"/>
          <w:color w:val="000000"/>
          <w:sz w:val="24"/>
          <w:szCs w:val="24"/>
        </w:rPr>
      </w:pPr>
      <w:r w:rsidRPr="006B6663">
        <w:rPr>
          <w:rFonts w:ascii="Titillium Web" w:eastAsia="Calibri" w:hAnsi="Titillium Web"/>
          <w:i/>
          <w:color w:val="000000"/>
          <w:sz w:val="24"/>
          <w:szCs w:val="24"/>
        </w:rPr>
        <w:t>F</w:t>
      </w:r>
      <w:r w:rsidR="00E12F67" w:rsidRPr="006B6663">
        <w:rPr>
          <w:rFonts w:ascii="Titillium Web" w:eastAsia="Calibri" w:hAnsi="Titillium Web"/>
          <w:i/>
          <w:color w:val="000000"/>
          <w:sz w:val="24"/>
          <w:szCs w:val="24"/>
        </w:rPr>
        <w:t>irma del dichiarante</w:t>
      </w:r>
    </w:p>
    <w:p w14:paraId="0000001E" w14:textId="77777777" w:rsidR="002F4CB7" w:rsidRPr="006B6663" w:rsidRDefault="002F4CB7">
      <w:pPr>
        <w:pBdr>
          <w:top w:val="nil"/>
          <w:left w:val="nil"/>
          <w:bottom w:val="nil"/>
          <w:right w:val="nil"/>
          <w:between w:val="nil"/>
        </w:pBdr>
        <w:spacing w:after="120" w:line="240" w:lineRule="auto"/>
        <w:ind w:left="0" w:hanging="2"/>
        <w:jc w:val="center"/>
        <w:rPr>
          <w:rFonts w:ascii="Titillium Web" w:eastAsia="Cambria" w:hAnsi="Titillium Web"/>
          <w:color w:val="000000"/>
        </w:rPr>
      </w:pPr>
    </w:p>
    <w:p w14:paraId="0000001F" w14:textId="77777777" w:rsidR="002F4CB7" w:rsidRPr="006B6663" w:rsidRDefault="002F4CB7">
      <w:pPr>
        <w:pBdr>
          <w:top w:val="nil"/>
          <w:left w:val="nil"/>
          <w:bottom w:val="nil"/>
          <w:right w:val="nil"/>
          <w:between w:val="nil"/>
        </w:pBdr>
        <w:spacing w:after="120" w:line="240" w:lineRule="auto"/>
        <w:ind w:left="0" w:hanging="2"/>
        <w:jc w:val="center"/>
        <w:rPr>
          <w:rFonts w:ascii="Titillium Web" w:eastAsia="Cambria" w:hAnsi="Titillium Web"/>
          <w:color w:val="000000"/>
        </w:rPr>
      </w:pPr>
    </w:p>
    <w:p w14:paraId="00000020" w14:textId="02C7FFDC" w:rsidR="002F4CB7" w:rsidRPr="006B6663" w:rsidRDefault="002F4CB7">
      <w:pPr>
        <w:pBdr>
          <w:top w:val="nil"/>
          <w:left w:val="nil"/>
          <w:bottom w:val="nil"/>
          <w:right w:val="nil"/>
          <w:between w:val="nil"/>
        </w:pBdr>
        <w:spacing w:after="120" w:line="240" w:lineRule="auto"/>
        <w:ind w:left="0" w:hanging="2"/>
        <w:jc w:val="both"/>
        <w:rPr>
          <w:rFonts w:ascii="Titillium Web" w:hAnsi="Titillium Web"/>
          <w:color w:val="000000"/>
        </w:rPr>
      </w:pPr>
    </w:p>
    <w:p w14:paraId="4DAF5A3C" w14:textId="77777777" w:rsidR="00725324" w:rsidRPr="006B6663" w:rsidRDefault="00725324">
      <w:pPr>
        <w:pBdr>
          <w:top w:val="nil"/>
          <w:left w:val="nil"/>
          <w:bottom w:val="nil"/>
          <w:right w:val="nil"/>
          <w:between w:val="nil"/>
        </w:pBdr>
        <w:spacing w:after="120" w:line="240" w:lineRule="auto"/>
        <w:ind w:left="0" w:hanging="2"/>
        <w:jc w:val="both"/>
        <w:rPr>
          <w:rFonts w:ascii="Titillium Web" w:hAnsi="Titillium Web"/>
          <w:color w:val="000000"/>
        </w:rPr>
      </w:pPr>
    </w:p>
    <w:sectPr w:rsidR="00725324" w:rsidRPr="006B6663">
      <w:headerReference w:type="even" r:id="rId8"/>
      <w:headerReference w:type="default" r:id="rId9"/>
      <w:footerReference w:type="even" r:id="rId10"/>
      <w:footerReference w:type="default" r:id="rId11"/>
      <w:headerReference w:type="first" r:id="rId12"/>
      <w:footerReference w:type="first" r:id="rId13"/>
      <w:pgSz w:w="11909" w:h="16834"/>
      <w:pgMar w:top="1320" w:right="1201" w:bottom="360" w:left="12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9F7F4" w14:textId="77777777" w:rsidR="002060DE" w:rsidRDefault="002060DE">
      <w:pPr>
        <w:spacing w:line="240" w:lineRule="auto"/>
        <w:ind w:left="0" w:hanging="2"/>
      </w:pPr>
      <w:r>
        <w:separator/>
      </w:r>
    </w:p>
  </w:endnote>
  <w:endnote w:type="continuationSeparator" w:id="0">
    <w:p w14:paraId="796D3E49" w14:textId="77777777" w:rsidR="002060DE" w:rsidRDefault="002060D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tillium Web">
    <w:charset w:val="00"/>
    <w:family w:val="auto"/>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4DF8F" w14:textId="77777777" w:rsidR="00A667BD" w:rsidRDefault="00A667BD">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83454" w14:textId="77777777" w:rsidR="00A667BD" w:rsidRDefault="00A667BD">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C974E" w14:textId="77777777" w:rsidR="00A667BD" w:rsidRDefault="00A667BD">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0001A" w14:textId="77777777" w:rsidR="002060DE" w:rsidRDefault="002060DE">
      <w:pPr>
        <w:spacing w:line="240" w:lineRule="auto"/>
        <w:ind w:left="0" w:hanging="2"/>
      </w:pPr>
      <w:r>
        <w:separator/>
      </w:r>
    </w:p>
  </w:footnote>
  <w:footnote w:type="continuationSeparator" w:id="0">
    <w:p w14:paraId="122A55EF" w14:textId="77777777" w:rsidR="002060DE" w:rsidRDefault="002060D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BEA88" w14:textId="77777777" w:rsidR="00A667BD" w:rsidRDefault="00A667BD">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7EE17" w14:textId="77777777" w:rsidR="00A667BD" w:rsidRDefault="00A667BD">
    <w:pPr>
      <w:pStyle w:val="Intestazio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1" w14:textId="77777777" w:rsidR="002F4CB7" w:rsidRDefault="00E12F67">
    <w:pPr>
      <w:pBdr>
        <w:top w:val="nil"/>
        <w:left w:val="nil"/>
        <w:bottom w:val="nil"/>
        <w:right w:val="nil"/>
        <w:between w:val="nil"/>
      </w:pBdr>
      <w:tabs>
        <w:tab w:val="left" w:pos="8477"/>
      </w:tabs>
      <w:spacing w:line="240" w:lineRule="auto"/>
      <w:ind w:left="0" w:hanging="2"/>
      <w:rPr>
        <w:color w:val="000000"/>
        <w:sz w:val="28"/>
        <w:szCs w:val="28"/>
      </w:rPr>
    </w:pPr>
    <w:r>
      <w:rPr>
        <w:color w:val="000000"/>
      </w:rPr>
      <w:tab/>
    </w:r>
    <w:r>
      <w:rPr>
        <w:color w:val="000000"/>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D5257"/>
    <w:multiLevelType w:val="multilevel"/>
    <w:tmpl w:val="3A960CE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16cid:durableId="25790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CB7"/>
    <w:rsid w:val="00001F03"/>
    <w:rsid w:val="00022AC9"/>
    <w:rsid w:val="0003333B"/>
    <w:rsid w:val="000C6B5B"/>
    <w:rsid w:val="000F5FA9"/>
    <w:rsid w:val="001206D7"/>
    <w:rsid w:val="00121EF9"/>
    <w:rsid w:val="002060DE"/>
    <w:rsid w:val="002379DC"/>
    <w:rsid w:val="002467DB"/>
    <w:rsid w:val="00246A27"/>
    <w:rsid w:val="002B1F31"/>
    <w:rsid w:val="002E7C35"/>
    <w:rsid w:val="002F43EC"/>
    <w:rsid w:val="002F4CB7"/>
    <w:rsid w:val="003660DA"/>
    <w:rsid w:val="00367BFB"/>
    <w:rsid w:val="003E4CF9"/>
    <w:rsid w:val="003F1AF3"/>
    <w:rsid w:val="00415275"/>
    <w:rsid w:val="00437855"/>
    <w:rsid w:val="0044104A"/>
    <w:rsid w:val="004C576A"/>
    <w:rsid w:val="004C69DE"/>
    <w:rsid w:val="004E0903"/>
    <w:rsid w:val="0051011D"/>
    <w:rsid w:val="00566B70"/>
    <w:rsid w:val="005A6006"/>
    <w:rsid w:val="005B5AF9"/>
    <w:rsid w:val="005C5877"/>
    <w:rsid w:val="0060727F"/>
    <w:rsid w:val="00615D8F"/>
    <w:rsid w:val="00615E67"/>
    <w:rsid w:val="00620394"/>
    <w:rsid w:val="0063259A"/>
    <w:rsid w:val="00653EE8"/>
    <w:rsid w:val="006B6663"/>
    <w:rsid w:val="006D5720"/>
    <w:rsid w:val="0070182D"/>
    <w:rsid w:val="00721ABA"/>
    <w:rsid w:val="00725324"/>
    <w:rsid w:val="007620DC"/>
    <w:rsid w:val="00775555"/>
    <w:rsid w:val="00784B9C"/>
    <w:rsid w:val="008C62A8"/>
    <w:rsid w:val="009000B5"/>
    <w:rsid w:val="009020B3"/>
    <w:rsid w:val="009071CB"/>
    <w:rsid w:val="009519E8"/>
    <w:rsid w:val="009552FC"/>
    <w:rsid w:val="00956B62"/>
    <w:rsid w:val="009601C7"/>
    <w:rsid w:val="009846BF"/>
    <w:rsid w:val="00A06F21"/>
    <w:rsid w:val="00A1378D"/>
    <w:rsid w:val="00A667BD"/>
    <w:rsid w:val="00AF6A2E"/>
    <w:rsid w:val="00B269E6"/>
    <w:rsid w:val="00B4229D"/>
    <w:rsid w:val="00BC6400"/>
    <w:rsid w:val="00C339B6"/>
    <w:rsid w:val="00C5203F"/>
    <w:rsid w:val="00C60530"/>
    <w:rsid w:val="00C77E0E"/>
    <w:rsid w:val="00C84C45"/>
    <w:rsid w:val="00CC20BA"/>
    <w:rsid w:val="00CD4E2B"/>
    <w:rsid w:val="00CE4367"/>
    <w:rsid w:val="00D64EC7"/>
    <w:rsid w:val="00D71F9A"/>
    <w:rsid w:val="00E12F67"/>
    <w:rsid w:val="00E240A1"/>
    <w:rsid w:val="00ED7864"/>
    <w:rsid w:val="00EE13FD"/>
    <w:rsid w:val="00F60E25"/>
    <w:rsid w:val="00F82050"/>
    <w:rsid w:val="00F821BA"/>
    <w:rsid w:val="00FC4305"/>
    <w:rsid w:val="00FD3D88"/>
    <w:rsid w:val="00FF20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F173"/>
  <w15:docId w15:val="{860DF8C0-8DAB-7942-94DD-5E189EE7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E w:val="0"/>
      <w:autoSpaceDN w:val="0"/>
      <w:adjustRightInd w:val="0"/>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Corpodeltesto">
    <w:name w:val="Corpo del testo"/>
    <w:basedOn w:val="Normale"/>
    <w:pPr>
      <w:autoSpaceDE/>
      <w:autoSpaceDN/>
      <w:adjustRightInd/>
      <w:spacing w:line="482" w:lineRule="atLeast"/>
      <w:jc w:val="both"/>
    </w:pPr>
    <w:rPr>
      <w:rFonts w:ascii="Arial" w:hAnsi="Arial"/>
      <w:b/>
      <w:sz w:val="24"/>
    </w:rPr>
  </w:style>
  <w:style w:type="character" w:customStyle="1" w:styleId="CorpodeltestoCarattere">
    <w:name w:val="Corpo del testo Carattere"/>
    <w:rPr>
      <w:rFonts w:ascii="Arial" w:hAnsi="Arial"/>
      <w:b/>
      <w:w w:val="100"/>
      <w:position w:val="-1"/>
      <w:sz w:val="24"/>
      <w:effect w:val="none"/>
      <w:vertAlign w:val="baseline"/>
      <w:cs w:val="0"/>
      <w:em w:val="none"/>
    </w:rPr>
  </w:style>
  <w:style w:type="character" w:styleId="Enfasicorsivo">
    <w:name w:val="Emphasis"/>
    <w:rPr>
      <w:i/>
      <w:iCs/>
      <w:w w:val="100"/>
      <w:position w:val="-1"/>
      <w:effect w:val="none"/>
      <w:vertAlign w:val="baseline"/>
      <w:cs w:val="0"/>
      <w:em w:val="none"/>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w w:val="100"/>
      <w:position w:val="-1"/>
      <w:effect w:val="none"/>
      <w:vertAlign w:val="baseline"/>
      <w:cs w:val="0"/>
      <w:em w:val="none"/>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w w:val="100"/>
      <w:position w:val="-1"/>
      <w:effect w:val="none"/>
      <w:vertAlign w:val="baseline"/>
      <w:cs w:val="0"/>
      <w:em w:val="none"/>
    </w:rPr>
  </w:style>
  <w:style w:type="paragraph" w:styleId="Paragrafoelenco">
    <w:name w:val="List Paragraph"/>
    <w:basedOn w:val="Normale"/>
    <w:uiPriority w:val="1"/>
    <w:qFormat/>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uiPriority w:val="99"/>
    <w:unhideWhenUsed/>
    <w:rsid w:val="009552FC"/>
    <w:rPr>
      <w:color w:val="0000FF"/>
      <w:u w:val="single"/>
    </w:rPr>
  </w:style>
  <w:style w:type="paragraph" w:styleId="Corpotesto">
    <w:name w:val="Body Text"/>
    <w:basedOn w:val="Normale"/>
    <w:link w:val="CorpotestoCarattere"/>
    <w:rsid w:val="00A06F21"/>
    <w:pPr>
      <w:widowControl/>
      <w:suppressAutoHyphens w:val="0"/>
      <w:autoSpaceDE/>
      <w:autoSpaceDN/>
      <w:adjustRightInd/>
      <w:spacing w:after="140" w:line="276" w:lineRule="auto"/>
      <w:ind w:leftChars="0" w:left="0" w:firstLineChars="0" w:firstLine="0"/>
      <w:textDirection w:val="lrTb"/>
      <w:textAlignment w:val="auto"/>
      <w:outlineLvl w:val="9"/>
    </w:pPr>
    <w:rPr>
      <w:rFonts w:asciiTheme="minorHAnsi" w:eastAsiaTheme="minorHAnsi" w:hAnsiTheme="minorHAnsi" w:cstheme="minorBidi"/>
      <w:position w:val="0"/>
      <w:sz w:val="24"/>
      <w:szCs w:val="24"/>
      <w:lang w:eastAsia="en-US"/>
    </w:rPr>
  </w:style>
  <w:style w:type="character" w:customStyle="1" w:styleId="CorpotestoCarattere">
    <w:name w:val="Corpo testo Carattere"/>
    <w:basedOn w:val="Carpredefinitoparagrafo"/>
    <w:link w:val="Corpotesto"/>
    <w:rsid w:val="00A06F21"/>
    <w:rPr>
      <w:rFonts w:asciiTheme="minorHAnsi" w:eastAsiaTheme="minorHAnsi" w:hAnsiTheme="minorHAnsi" w:cstheme="minorBidi"/>
      <w:sz w:val="24"/>
      <w:szCs w:val="24"/>
      <w:lang w:eastAsia="en-US"/>
    </w:rPr>
  </w:style>
  <w:style w:type="paragraph" w:styleId="NormaleWeb">
    <w:name w:val="Normal (Web)"/>
    <w:basedOn w:val="Normale"/>
    <w:unhideWhenUsed/>
    <w:rsid w:val="00C84C45"/>
    <w:pPr>
      <w:widowControl/>
      <w:suppressAutoHyphens w:val="0"/>
      <w:autoSpaceDE/>
      <w:autoSpaceDN/>
      <w:adjustRightInd/>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866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bWohl8W94afeuhFP/LgxVRf8bA==">AMUW2mUMVDEIq2B1UXCNDhpX7CRC30bmkOyeg6G/48SnFs6krv/Bu9sNPLkhCuMJjNPrRofMyh32J0P2apsxaZLcnjIfpDUtNKccWTmBl8Q181cQ16C7PHo=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NUCIFORA ALFIA SERAFINA IT 03471000871</cp:lastModifiedBy>
  <cp:revision>6</cp:revision>
  <dcterms:created xsi:type="dcterms:W3CDTF">2024-07-18T20:27:00Z</dcterms:created>
  <dcterms:modified xsi:type="dcterms:W3CDTF">2024-10-04T09:16:00Z</dcterms:modified>
</cp:coreProperties>
</file>